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C01" w:rsidRPr="00443193" w:rsidRDefault="00236C01" w:rsidP="00236C01">
      <w:pPr>
        <w:pStyle w:val="Pr-formataoHTML"/>
        <w:jc w:val="both"/>
        <w:rPr>
          <w:rFonts w:ascii="Century Gothic" w:hAnsi="Century Gothic"/>
          <w:b/>
          <w:color w:val="333333"/>
          <w:sz w:val="24"/>
          <w:szCs w:val="24"/>
        </w:rPr>
      </w:pPr>
      <w:bookmarkStart w:id="0" w:name="_GoBack"/>
      <w:bookmarkEnd w:id="0"/>
      <w:r>
        <w:rPr>
          <w:rFonts w:ascii="Century Gothic" w:hAnsi="Century Gothic"/>
          <w:color w:val="333333"/>
          <w:sz w:val="24"/>
          <w:szCs w:val="24"/>
        </w:rPr>
        <w:tab/>
        <w:t xml:space="preserve">         </w:t>
      </w:r>
      <w:r w:rsidRPr="00443193">
        <w:rPr>
          <w:rFonts w:ascii="Century Gothic" w:hAnsi="Century Gothic"/>
          <w:b/>
          <w:color w:val="333333"/>
          <w:sz w:val="24"/>
          <w:szCs w:val="24"/>
        </w:rPr>
        <w:t>DECRETO Nº 2.7</w:t>
      </w:r>
      <w:r>
        <w:rPr>
          <w:rFonts w:ascii="Century Gothic" w:hAnsi="Century Gothic"/>
          <w:b/>
          <w:color w:val="333333"/>
          <w:sz w:val="24"/>
          <w:szCs w:val="24"/>
        </w:rPr>
        <w:t>50</w:t>
      </w:r>
      <w:r w:rsidRPr="00443193">
        <w:rPr>
          <w:rFonts w:ascii="Century Gothic" w:hAnsi="Century Gothic"/>
          <w:b/>
          <w:color w:val="333333"/>
          <w:sz w:val="24"/>
          <w:szCs w:val="24"/>
        </w:rPr>
        <w:t xml:space="preserve">, DE </w:t>
      </w:r>
      <w:r>
        <w:rPr>
          <w:rFonts w:ascii="Century Gothic" w:hAnsi="Century Gothic"/>
          <w:b/>
          <w:color w:val="333333"/>
          <w:sz w:val="24"/>
          <w:szCs w:val="24"/>
        </w:rPr>
        <w:t>28</w:t>
      </w:r>
      <w:r w:rsidRPr="00443193">
        <w:rPr>
          <w:rFonts w:ascii="Century Gothic" w:hAnsi="Century Gothic"/>
          <w:b/>
          <w:color w:val="333333"/>
          <w:sz w:val="24"/>
          <w:szCs w:val="24"/>
        </w:rPr>
        <w:t xml:space="preserve"> DE </w:t>
      </w:r>
      <w:r>
        <w:rPr>
          <w:rFonts w:ascii="Century Gothic" w:hAnsi="Century Gothic"/>
          <w:b/>
          <w:color w:val="333333"/>
          <w:sz w:val="24"/>
          <w:szCs w:val="24"/>
        </w:rPr>
        <w:t>ABRIL</w:t>
      </w:r>
      <w:r w:rsidRPr="00443193">
        <w:rPr>
          <w:rFonts w:ascii="Century Gothic" w:hAnsi="Century Gothic"/>
          <w:b/>
          <w:color w:val="333333"/>
          <w:sz w:val="24"/>
          <w:szCs w:val="24"/>
        </w:rPr>
        <w:t xml:space="preserve"> DE 2025</w:t>
      </w:r>
    </w:p>
    <w:p w:rsidR="00236C01" w:rsidRPr="00443193" w:rsidRDefault="00236C01" w:rsidP="00236C01">
      <w:pPr>
        <w:pStyle w:val="Pr-formataoHTML"/>
        <w:jc w:val="both"/>
        <w:rPr>
          <w:rFonts w:ascii="Century Gothic" w:hAnsi="Century Gothic"/>
          <w:b/>
          <w:color w:val="333333"/>
          <w:sz w:val="24"/>
          <w:szCs w:val="24"/>
        </w:rPr>
      </w:pPr>
    </w:p>
    <w:p w:rsidR="00236C01" w:rsidRPr="00236C01" w:rsidRDefault="00236C01" w:rsidP="00236C01">
      <w:pPr>
        <w:pStyle w:val="Pr-formataoHTML"/>
        <w:ind w:left="2748"/>
        <w:jc w:val="both"/>
        <w:rPr>
          <w:rFonts w:ascii="Century Gothic" w:hAnsi="Century Gothic"/>
          <w:b/>
          <w:sz w:val="24"/>
          <w:szCs w:val="24"/>
        </w:rPr>
      </w:pPr>
      <w:r w:rsidRPr="00236C01">
        <w:rPr>
          <w:rFonts w:ascii="Century Gothic" w:hAnsi="Century Gothic"/>
          <w:b/>
          <w:color w:val="333333"/>
          <w:sz w:val="24"/>
          <w:szCs w:val="24"/>
        </w:rPr>
        <w:t>“</w:t>
      </w:r>
      <w:r w:rsidRPr="00236C01">
        <w:rPr>
          <w:rFonts w:ascii="Century Gothic" w:hAnsi="Century Gothic"/>
          <w:b/>
          <w:sz w:val="24"/>
          <w:szCs w:val="24"/>
        </w:rPr>
        <w:t>AUTORIZA A PROCURADORIA GERAL DO MUNICÍPIO A ELABORAR PARECERES REFERENCIAIS E DÁ OUTRAS PROVIDÊNCIAS”</w:t>
      </w:r>
    </w:p>
    <w:p w:rsidR="00236C01" w:rsidRPr="00236C01" w:rsidRDefault="00236C01" w:rsidP="00236C01">
      <w:pPr>
        <w:ind w:firstLine="708"/>
        <w:jc w:val="both"/>
        <w:rPr>
          <w:rFonts w:ascii="Century Gothic" w:hAnsi="Century Gothic" w:cs="Arial"/>
          <w:b/>
          <w:sz w:val="24"/>
          <w:szCs w:val="24"/>
        </w:rPr>
      </w:pPr>
    </w:p>
    <w:p w:rsidR="00236C01" w:rsidRDefault="00236C01" w:rsidP="00236C01">
      <w:pPr>
        <w:ind w:firstLine="708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O </w:t>
      </w:r>
      <w:r w:rsidRPr="00026513">
        <w:rPr>
          <w:rFonts w:ascii="Century Gothic" w:hAnsi="Century Gothic" w:cs="Arial"/>
          <w:sz w:val="24"/>
          <w:szCs w:val="24"/>
        </w:rPr>
        <w:t xml:space="preserve">Prefeito Municipal de Monte Castelo, Estado de Santa Catarina, no uso de suas atribuições que lhes são conferidas pelo Artigo 49, </w:t>
      </w:r>
      <w:r>
        <w:rPr>
          <w:rFonts w:ascii="Century Gothic" w:hAnsi="Century Gothic" w:cs="Arial"/>
          <w:sz w:val="24"/>
          <w:szCs w:val="24"/>
        </w:rPr>
        <w:t>Inciso IV, da Lei Orgâ</w:t>
      </w:r>
      <w:r w:rsidRPr="00026513">
        <w:rPr>
          <w:rFonts w:ascii="Century Gothic" w:hAnsi="Century Gothic" w:cs="Arial"/>
          <w:sz w:val="24"/>
          <w:szCs w:val="24"/>
        </w:rPr>
        <w:t>nica do Município</w:t>
      </w:r>
      <w:r>
        <w:rPr>
          <w:rFonts w:ascii="Century Gothic" w:hAnsi="Century Gothic" w:cs="Arial"/>
          <w:sz w:val="24"/>
          <w:szCs w:val="24"/>
        </w:rPr>
        <w:t xml:space="preserve">, </w:t>
      </w:r>
    </w:p>
    <w:p w:rsidR="00236C01" w:rsidRPr="00693C3F" w:rsidRDefault="00236C01" w:rsidP="00236C01">
      <w:pPr>
        <w:ind w:firstLine="708"/>
        <w:jc w:val="both"/>
        <w:rPr>
          <w:rFonts w:ascii="Century Gothic" w:hAnsi="Century Gothic" w:cs="Arial"/>
          <w:b/>
          <w:i/>
          <w:sz w:val="24"/>
          <w:szCs w:val="24"/>
        </w:rPr>
      </w:pPr>
      <w:r w:rsidRPr="00693C3F">
        <w:rPr>
          <w:rFonts w:ascii="Century Gothic" w:hAnsi="Century Gothic" w:cs="Arial"/>
          <w:b/>
          <w:i/>
          <w:sz w:val="24"/>
          <w:szCs w:val="24"/>
        </w:rPr>
        <w:t>Considerando a existência de vários processos com matérias idênticas aguardando manifestação da Procuradoria do Município;</w:t>
      </w:r>
    </w:p>
    <w:p w:rsidR="00236C01" w:rsidRPr="00693C3F" w:rsidRDefault="00236C01" w:rsidP="00236C01">
      <w:pPr>
        <w:ind w:firstLine="708"/>
        <w:jc w:val="both"/>
        <w:rPr>
          <w:rFonts w:ascii="Century Gothic" w:hAnsi="Century Gothic" w:cs="Arial"/>
          <w:b/>
          <w:i/>
          <w:sz w:val="24"/>
          <w:szCs w:val="24"/>
        </w:rPr>
      </w:pPr>
      <w:r w:rsidRPr="00693C3F">
        <w:rPr>
          <w:rFonts w:ascii="Century Gothic" w:hAnsi="Century Gothic" w:cs="Arial"/>
          <w:b/>
          <w:i/>
          <w:sz w:val="24"/>
          <w:szCs w:val="24"/>
        </w:rPr>
        <w:t>Considerando a possibilidade legal de dispensa de pareceres individualizados nos casos em que as condições jurídicas sob análise envolvem matérias idênticas e recorrentes através de Pareceres Referenciais;</w:t>
      </w:r>
    </w:p>
    <w:p w:rsidR="00236C01" w:rsidRPr="00443193" w:rsidRDefault="00236C01" w:rsidP="00236C01">
      <w:pPr>
        <w:pStyle w:val="Pr-formataoHTML"/>
        <w:jc w:val="both"/>
        <w:rPr>
          <w:rFonts w:ascii="Century Gothic" w:hAnsi="Century Gothic"/>
          <w:b/>
          <w:color w:val="333333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b/>
          <w:color w:val="333333"/>
          <w:sz w:val="24"/>
          <w:szCs w:val="24"/>
        </w:rPr>
      </w:pPr>
      <w:r w:rsidRPr="00443193">
        <w:rPr>
          <w:rFonts w:ascii="Century Gothic" w:hAnsi="Century Gothic"/>
          <w:b/>
          <w:color w:val="333333"/>
          <w:sz w:val="24"/>
          <w:szCs w:val="24"/>
        </w:rPr>
        <w:tab/>
        <w:t>DECRETA:</w:t>
      </w:r>
    </w:p>
    <w:p w:rsidR="00236C01" w:rsidRDefault="00236C01" w:rsidP="00236C01">
      <w:pPr>
        <w:pStyle w:val="Pr-formataoHTML"/>
        <w:jc w:val="both"/>
        <w:rPr>
          <w:rFonts w:ascii="Century Gothic" w:hAnsi="Century Gothic"/>
          <w:b/>
          <w:color w:val="333333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color w:val="333333"/>
          <w:sz w:val="24"/>
          <w:szCs w:val="24"/>
        </w:rPr>
      </w:pPr>
      <w:r>
        <w:rPr>
          <w:rFonts w:ascii="Century Gothic" w:hAnsi="Century Gothic"/>
          <w:b/>
          <w:color w:val="333333"/>
          <w:sz w:val="24"/>
          <w:szCs w:val="24"/>
        </w:rPr>
        <w:tab/>
        <w:t xml:space="preserve">Art. 1º. </w:t>
      </w:r>
      <w:r w:rsidRPr="00693C3F">
        <w:rPr>
          <w:rFonts w:ascii="Century Gothic" w:hAnsi="Century Gothic"/>
          <w:color w:val="333333"/>
          <w:sz w:val="24"/>
          <w:szCs w:val="24"/>
        </w:rPr>
        <w:t xml:space="preserve">Fica a Procuradoria do Município de Monte Castelo autorizada a emitir Pareceres Referenciais aplicáveis </w:t>
      </w:r>
      <w:r>
        <w:rPr>
          <w:rFonts w:ascii="Century Gothic" w:hAnsi="Century Gothic"/>
          <w:color w:val="333333"/>
          <w:sz w:val="24"/>
          <w:szCs w:val="24"/>
        </w:rPr>
        <w:t>a todos os contratos que envolvem a Administração Direta e Indireta.</w:t>
      </w:r>
    </w:p>
    <w:p w:rsidR="00236C01" w:rsidRDefault="00236C01" w:rsidP="00236C01">
      <w:pPr>
        <w:pStyle w:val="Pr-formataoHTML"/>
        <w:jc w:val="both"/>
        <w:rPr>
          <w:rFonts w:ascii="Century Gothic" w:hAnsi="Century Gothic"/>
          <w:color w:val="333333"/>
          <w:sz w:val="24"/>
          <w:szCs w:val="24"/>
        </w:rPr>
      </w:pPr>
    </w:p>
    <w:p w:rsidR="00236C01" w:rsidRPr="00693C3F" w:rsidRDefault="00236C01" w:rsidP="00236C01">
      <w:pPr>
        <w:pStyle w:val="Pr-formataoHTML"/>
        <w:jc w:val="both"/>
        <w:rPr>
          <w:rFonts w:ascii="Century Gothic" w:hAnsi="Century Gothic"/>
          <w:color w:val="333333"/>
          <w:sz w:val="24"/>
          <w:szCs w:val="24"/>
        </w:rPr>
      </w:pPr>
      <w:r>
        <w:rPr>
          <w:rFonts w:ascii="Century Gothic" w:hAnsi="Century Gothic"/>
          <w:color w:val="333333"/>
          <w:sz w:val="24"/>
          <w:szCs w:val="24"/>
        </w:rPr>
        <w:tab/>
      </w:r>
      <w:r w:rsidRPr="00693C3F">
        <w:rPr>
          <w:rFonts w:ascii="Century Gothic" w:hAnsi="Century Gothic"/>
          <w:b/>
          <w:color w:val="333333"/>
          <w:sz w:val="24"/>
          <w:szCs w:val="24"/>
        </w:rPr>
        <w:t>Art. 2º.</w:t>
      </w:r>
      <w:r>
        <w:rPr>
          <w:rFonts w:ascii="Century Gothic" w:hAnsi="Century Gothic"/>
          <w:color w:val="333333"/>
          <w:sz w:val="24"/>
          <w:szCs w:val="24"/>
        </w:rPr>
        <w:t xml:space="preserve"> Os processos que sejam objeto de manifestação jurídica referencial, isto é, aquela que analisa todas as questões jurídicas com matérias idênticas e recorrentes, estão dispensados de análise individualizada da Procuradoria do Município, desde que a área técnica ateste de forma expressa, que o caso concreto se amolda aos termos da citada manifestação.</w:t>
      </w:r>
    </w:p>
    <w:p w:rsidR="00236C01" w:rsidRPr="00693C3F" w:rsidRDefault="00236C01" w:rsidP="00236C01">
      <w:pPr>
        <w:pStyle w:val="Pr-formataoHTML"/>
        <w:jc w:val="both"/>
        <w:rPr>
          <w:rFonts w:ascii="Century Gothic" w:hAnsi="Century Gothic"/>
          <w:color w:val="333333"/>
          <w:sz w:val="24"/>
          <w:szCs w:val="24"/>
        </w:rPr>
      </w:pPr>
    </w:p>
    <w:p w:rsidR="00236C01" w:rsidRPr="00693C3F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Pr="00693C3F">
        <w:rPr>
          <w:rFonts w:ascii="Century Gothic" w:hAnsi="Century Gothic"/>
          <w:b/>
          <w:sz w:val="24"/>
          <w:szCs w:val="24"/>
        </w:rPr>
        <w:t>Art. 3º.</w:t>
      </w:r>
      <w:r w:rsidRPr="00693C3F">
        <w:rPr>
          <w:rFonts w:ascii="Century Gothic" w:hAnsi="Century Gothic"/>
          <w:sz w:val="24"/>
          <w:szCs w:val="24"/>
        </w:rPr>
        <w:t xml:space="preserve"> A aplicabilidade do Parecer Referencial fica adstrita a processos cuja atividade jurídica exercida se restringir à verificação do atendimento das exigências legais a partir da simples conferência de documentos.</w:t>
      </w:r>
    </w:p>
    <w:p w:rsidR="00236C01" w:rsidRPr="00693C3F" w:rsidRDefault="00236C01" w:rsidP="00236C01">
      <w:pPr>
        <w:pStyle w:val="Pr-formataoHTML"/>
        <w:jc w:val="both"/>
        <w:rPr>
          <w:rFonts w:ascii="Century Gothic" w:hAnsi="Century Gothic"/>
          <w:color w:val="333333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Pr="00693C3F">
        <w:rPr>
          <w:rFonts w:ascii="Century Gothic" w:hAnsi="Century Gothic"/>
          <w:b/>
          <w:sz w:val="24"/>
          <w:szCs w:val="24"/>
        </w:rPr>
        <w:t xml:space="preserve">Art. 4º. </w:t>
      </w:r>
      <w:r w:rsidRPr="00693C3F">
        <w:rPr>
          <w:rFonts w:ascii="Century Gothic" w:hAnsi="Century Gothic"/>
          <w:sz w:val="24"/>
          <w:szCs w:val="24"/>
        </w:rPr>
        <w:t xml:space="preserve">É imprescindível a observância das condições previstas no Parecer Referencial com obrigatória reprodução e inserção do mesmo no Processo Administrativo Licitatório. </w:t>
      </w: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Pr="00693C3F">
        <w:rPr>
          <w:rFonts w:ascii="Century Gothic" w:hAnsi="Century Gothic"/>
          <w:b/>
          <w:sz w:val="24"/>
          <w:szCs w:val="24"/>
        </w:rPr>
        <w:t>Art. 5º.</w:t>
      </w:r>
      <w:r w:rsidRPr="00693C3F">
        <w:rPr>
          <w:rFonts w:ascii="Century Gothic" w:hAnsi="Century Gothic"/>
          <w:sz w:val="24"/>
          <w:szCs w:val="24"/>
        </w:rPr>
        <w:t xml:space="preserve"> Caberá à Procuradoria </w:t>
      </w:r>
      <w:r>
        <w:rPr>
          <w:rFonts w:ascii="Century Gothic" w:hAnsi="Century Gothic"/>
          <w:sz w:val="24"/>
          <w:szCs w:val="24"/>
        </w:rPr>
        <w:t>do Município</w:t>
      </w:r>
      <w:r w:rsidRPr="00693C3F">
        <w:rPr>
          <w:rFonts w:ascii="Century Gothic" w:hAnsi="Century Gothic"/>
          <w:sz w:val="24"/>
          <w:szCs w:val="24"/>
        </w:rPr>
        <w:t xml:space="preserve"> disciplinar os modelos de minutas de editais e a padronização dos contratos. </w:t>
      </w: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 xml:space="preserve">   FL. 02</w:t>
      </w: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Pr="00693C3F">
        <w:rPr>
          <w:rFonts w:ascii="Century Gothic" w:hAnsi="Century Gothic"/>
          <w:sz w:val="24"/>
          <w:szCs w:val="24"/>
        </w:rPr>
        <w:t>§ 1º</w:t>
      </w:r>
      <w:r>
        <w:rPr>
          <w:rFonts w:ascii="Century Gothic" w:hAnsi="Century Gothic"/>
          <w:sz w:val="24"/>
          <w:szCs w:val="24"/>
        </w:rPr>
        <w:t xml:space="preserve"> -</w:t>
      </w:r>
      <w:r w:rsidRPr="00693C3F">
        <w:rPr>
          <w:rFonts w:ascii="Century Gothic" w:hAnsi="Century Gothic"/>
          <w:sz w:val="24"/>
          <w:szCs w:val="24"/>
        </w:rPr>
        <w:t xml:space="preserve"> Não é obrigatória a manifestação jurídica nas contratações diretas de pequeno valor, com fundamento no Art. 75, I ou II e § 3º da Lei n. 14.133/2021, salvo se houver celebração de contrato administrativo e este não for padronizado pelo órgão de assessoramento jurídico, ou nas hipóteses em que a Secretaria requisitante ou a ela equiparada tenha suscitado dúvida a respeito da legalidade da dispensa de licitação. </w:t>
      </w: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Pr="00693C3F">
        <w:rPr>
          <w:rFonts w:ascii="Century Gothic" w:hAnsi="Century Gothic"/>
          <w:sz w:val="24"/>
          <w:szCs w:val="24"/>
        </w:rPr>
        <w:t xml:space="preserve">§ 2º Aplica-se o mesmo entendimento às contratações diretas fundadas no Art. 74, da Lei n. 14.133/2021, desde que os valores não ultrapassem os limites previstos nos incisos I e II do Art. 75 da citada Lei. </w:t>
      </w: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Pr="00693C3F">
        <w:rPr>
          <w:rFonts w:ascii="Century Gothic" w:hAnsi="Century Gothic"/>
          <w:b/>
          <w:sz w:val="24"/>
          <w:szCs w:val="24"/>
        </w:rPr>
        <w:t>Art. 6º</w:t>
      </w:r>
      <w:r>
        <w:rPr>
          <w:rFonts w:ascii="Century Gothic" w:hAnsi="Century Gothic"/>
          <w:b/>
          <w:sz w:val="24"/>
          <w:szCs w:val="24"/>
        </w:rPr>
        <w:t>.</w:t>
      </w:r>
      <w:r w:rsidRPr="00693C3F">
        <w:rPr>
          <w:rFonts w:ascii="Century Gothic" w:hAnsi="Century Gothic"/>
          <w:sz w:val="24"/>
          <w:szCs w:val="24"/>
        </w:rPr>
        <w:t xml:space="preserve"> Este Decreto entra em vigor na data da sua publicação</w:t>
      </w:r>
      <w:r>
        <w:rPr>
          <w:rFonts w:ascii="Century Gothic" w:hAnsi="Century Gothic"/>
          <w:sz w:val="24"/>
          <w:szCs w:val="24"/>
        </w:rPr>
        <w:t>.</w:t>
      </w: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Pr="00693C3F">
        <w:rPr>
          <w:rFonts w:ascii="Century Gothic" w:hAnsi="Century Gothic"/>
          <w:b/>
          <w:sz w:val="24"/>
          <w:szCs w:val="24"/>
        </w:rPr>
        <w:t>Art. 7º.</w:t>
      </w:r>
      <w:r>
        <w:rPr>
          <w:rFonts w:ascii="Century Gothic" w:hAnsi="Century Gothic"/>
          <w:sz w:val="24"/>
          <w:szCs w:val="24"/>
        </w:rPr>
        <w:t xml:space="preserve"> Ficam revogadas as disposições em contrário.</w:t>
      </w: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Monte Castelo, 28 de Abril de 2025</w:t>
      </w: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</w:p>
    <w:p w:rsidR="00236C01" w:rsidRDefault="00236C01" w:rsidP="00236C01">
      <w:pPr>
        <w:pStyle w:val="Pr-formataoHTML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SIRINEU RATOCHINSKI</w:t>
      </w:r>
    </w:p>
    <w:p w:rsidR="00236C01" w:rsidRPr="00693C3F" w:rsidRDefault="00236C01" w:rsidP="00236C01">
      <w:pPr>
        <w:pStyle w:val="Pr-formataoHTML"/>
        <w:jc w:val="both"/>
        <w:rPr>
          <w:rFonts w:ascii="Century Gothic" w:hAnsi="Century Gothic"/>
          <w:color w:val="333333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 xml:space="preserve"> PREFEITO MUNICIPAL</w:t>
      </w:r>
    </w:p>
    <w:p w:rsidR="00236C01" w:rsidRPr="00693C3F" w:rsidRDefault="00236C01" w:rsidP="00236C01">
      <w:pPr>
        <w:pStyle w:val="Pr-formataoHTML"/>
        <w:jc w:val="both"/>
        <w:rPr>
          <w:rFonts w:ascii="Century Gothic" w:hAnsi="Century Gothic"/>
          <w:color w:val="333333"/>
          <w:sz w:val="24"/>
          <w:szCs w:val="24"/>
        </w:rPr>
      </w:pPr>
    </w:p>
    <w:p w:rsidR="00236C01" w:rsidRPr="00693C3F" w:rsidRDefault="00236C01" w:rsidP="00236C01">
      <w:pPr>
        <w:ind w:firstLine="708"/>
        <w:jc w:val="both"/>
        <w:rPr>
          <w:rFonts w:ascii="Century Gothic" w:hAnsi="Century Gothic" w:cs="Arial"/>
          <w:sz w:val="24"/>
          <w:szCs w:val="24"/>
        </w:rPr>
      </w:pPr>
    </w:p>
    <w:p w:rsidR="004A3758" w:rsidRDefault="004A3758"/>
    <w:sectPr w:rsidR="004A3758" w:rsidSect="004A375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D48" w:rsidRDefault="00DC7D48" w:rsidP="00236C01">
      <w:pPr>
        <w:spacing w:after="0" w:line="240" w:lineRule="auto"/>
      </w:pPr>
      <w:r>
        <w:separator/>
      </w:r>
    </w:p>
  </w:endnote>
  <w:endnote w:type="continuationSeparator" w:id="0">
    <w:p w:rsidR="00DC7D48" w:rsidRDefault="00DC7D48" w:rsidP="00236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D48" w:rsidRDefault="00DC7D48" w:rsidP="00236C01">
      <w:pPr>
        <w:spacing w:after="0" w:line="240" w:lineRule="auto"/>
      </w:pPr>
      <w:r>
        <w:separator/>
      </w:r>
    </w:p>
  </w:footnote>
  <w:footnote w:type="continuationSeparator" w:id="0">
    <w:p w:rsidR="00DC7D48" w:rsidRDefault="00DC7D48" w:rsidP="00236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C01" w:rsidRDefault="005B5CBE" w:rsidP="00236C01">
    <w:pPr>
      <w:pStyle w:val="Cabealho"/>
      <w:tabs>
        <w:tab w:val="center" w:pos="4513"/>
        <w:tab w:val="left" w:pos="6630"/>
      </w:tabs>
    </w:pPr>
    <w:r>
      <w:rPr>
        <w:noProof/>
        <w:color w:val="000000" w:themeColor="text1"/>
        <w:lang w:eastAsia="pt-BR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-142875</wp:posOffset>
              </wp:positionH>
              <wp:positionV relativeFrom="page">
                <wp:posOffset>-57150</wp:posOffset>
              </wp:positionV>
              <wp:extent cx="7935595" cy="10764520"/>
              <wp:effectExtent l="19050" t="0" r="27305" b="55880"/>
              <wp:wrapNone/>
              <wp:docPr id="1" name="Grupo 3">
                <a:extLst xmlns:a="http://schemas.openxmlformats.org/drawingml/2006/main">
                  <a:ext uri="{C183D7F6-B498-43B3-948B-1728B52AA6E4}"/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935595" cy="10764520"/>
                        <a:chOff x="-164523" y="0"/>
                        <a:chExt cx="7936394" cy="10764809"/>
                      </a:xfrm>
                      <a:solidFill>
                        <a:schemeClr val="accent3">
                          <a:lumMod val="75000"/>
                        </a:schemeClr>
                      </a:solidFill>
                    </wpg:grpSpPr>
                    <wps:wsp>
                      <wps:cNvPr id="2" name="Retângulo 1"/>
                      <wps:cNvSpPr/>
                      <wps:spPr>
                        <a:xfrm>
                          <a:off x="-38100" y="0"/>
                          <a:ext cx="7809971" cy="342764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 rot="10800000">
                          <a:off x="-164523" y="10421953"/>
                          <a:ext cx="7811922" cy="342856"/>
                          <a:chOff x="138231" y="-704994"/>
                          <a:chExt cx="7811922" cy="342992"/>
                        </a:xfrm>
                        <a:grpFill/>
                      </wpg:grpSpPr>
                      <wps:wsp>
                        <wps:cNvPr id="13" name="Retângulo 13"/>
                        <wps:cNvSpPr/>
                        <wps:spPr>
                          <a:xfrm>
                            <a:off x="138231" y="-704994"/>
                            <a:ext cx="7772400" cy="3429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tângulo 2"/>
                        <wps:cNvSpPr/>
                        <wps:spPr>
                          <a:xfrm flipV="1">
                            <a:off x="5578267" y="-676266"/>
                            <a:ext cx="2371886" cy="314264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solidFill>
                              <a:srgbClr val="FFFF00"/>
                            </a:solidFill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C8D7C7" id="Grupo 3" o:spid="_x0000_s1026" style="position:absolute;margin-left:-11.25pt;margin-top:-4.5pt;width:624.85pt;height:847.6pt;z-index:-251657216;mso-position-horizontal-relative:page;mso-position-vertical-relative:page" coordorigin="-1645" coordsize="79363,107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">
              <v:rect id="Retângulo 1" o:spid="_x0000_s1027" style="position:absolute;left:-381;width:78099;height:34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6MOsQA&#10;AADaAAAADwAAAGRycy9kb3ducmV2LnhtbESP3WrCQBSE74W+w3IKvSnNJoJSohvpnyCCYNIKXh6y&#10;p0kwezZktzG+vSsUvBxm5htmuRpNKwbqXWNZQRLFIIhLqxuuFPx8r19eQTiPrLG1TAou5GCVPUyW&#10;mGp75pyGwlciQNilqKD2vkuldGVNBl1kO+Lg/dreoA+yr6Tu8RzgppXTOJ5Lgw2HhRo7+qipPBV/&#10;RkFzeqd9ciiOn7vtly7Wz4fZkCdKPT2ObwsQnkZ/D/+3N1rBFG5Xwg2Q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ejDrEAAAA2gAAAA8AAAAAAAAAAAAAAAAAmAIAAGRycy9k&#10;b3ducmV2LnhtbFBLBQYAAAAABAAEAPUAAACJAwAAAAA=&#10;" fillcolor="#76923c [2406]" strokecolor="#943634 [2405]" strokeweight="2pt"/>
              <v:group id="Grupo 12" o:spid="_x0000_s1028" style="position:absolute;left:-1645;top:104219;width:78118;height:3429;rotation:180" coordorigin="1382,-7049" coordsize="78119,34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AzNcAAAADbAAAADwAAAGRycy9kb3ducmV2LnhtbERPTYvCMBC9L/gfwgje&#10;1tS6ilSjiLBsTwurgtehGZtqMylJ1PrvzcLC3ubxPme16W0r7uRD41jBZJyBIK6cbrhWcDx8vi9A&#10;hIissXVMCp4UYLMevK2w0O7BP3Tfx1qkEA4FKjAxdoWUoTJkMYxdR5y4s/MWY4K+ltrjI4XbVuZZ&#10;NpcWG04NBjvaGaqu+5tVoD/C9EhlufX59+Uwa2Zfpj6flBoN++0SRKQ+/ov/3KVO83P4/SUdINcv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pkDM1wAAAANsAAAAPAAAA&#10;AAAAAAAAAAAAAKoCAABkcnMvZG93bnJldi54bWxQSwUGAAAAAAQABAD6AAAAlwMAAAAA&#10;">
                <v:rect id="Retângulo 13" o:spid="_x0000_s1029" style="position:absolute;left:1382;top:-7049;width:77724;height:3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qs3cAA&#10;AADbAAAADwAAAGRycy9kb3ducmV2LnhtbERPTYvCMBC9L/gfwgh7W1N1WaQapYjKetQK4m1sxrba&#10;TEoTa/33G2HB2zze58wWnalES40rLSsYDiIQxJnVJecKDun6awLCeWSNlWVS8CQHi3nvY4axtg/e&#10;Ubv3uQgh7GJUUHhfx1K6rCCDbmBr4sBdbGPQB9jkUjf4COGmkqMo+pEGSw4NBda0LCi77e9GgTu3&#10;2/RZJ8fryWXnZMUm/d5ulPrsd8kUhKfOv8X/7l8d5o/h9Us4QM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Aqs3cAAAADbAAAADwAAAAAAAAAAAAAAAACYAgAAZHJzL2Rvd25y&#10;ZXYueG1sUEsFBgAAAAAEAAQA9QAAAIUDAAAAAA==&#10;" filled="f" stroked="f" strokeweight="2pt"/>
                <v:shape id="Retângulo 2" o:spid="_x0000_s1030" style="position:absolute;left:55782;top:-6762;width:23719;height:3142;flip:y;visibility:visible;mso-wrap-style:square;v-text-anchor:middle" coordsize="4000500,800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DoHsIA&#10;AADbAAAADwAAAGRycy9kb3ducmV2LnhtbESPQYvCMBCF74L/IcyCN01X1JVqFBFE8SDYFfY624xN&#10;sZmUJmr7742wsLcZ3vvevFmuW1uJBzW+dKzgc5SAIM6dLrlQcPneDecgfEDWWDkmBR15WK/6vSWm&#10;2j35TI8sFCKGsE9RgQmhTqX0uSGLfuRq4qhdXWMxxLUppG7wGcNtJcdJMpMWS44XDNa0NZTfsrtV&#10;8Lu5TY9fP5fpPqLSHLLuNOdOqcFHu1mACNSGf/MffdCx/gTev8QB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kOgewgAAANsAAAAPAAAAAAAAAAAAAAAAAJgCAABkcnMvZG93&#10;bnJldi54bWxQSwUGAAAAAAQABAD1AAAAhwMAAAAA&#10;" path="m,l4000500,r,800100l792480,800100,,xe" fillcolor="yellow" strokecolor="yellow" strokeweight="2pt">
                  <v:shadow on="t" color="black" opacity="26214f" origin="-.5" offset="3pt,0"/>
                  <v:path arrowok="t" o:connecttype="custom" o:connectlocs="0,0;2371886,0;2371886,314264;469859,314264;0,0" o:connectangles="0,0,0,0,0"/>
                </v:shape>
              </v:group>
              <w10:wrap anchorx="page" anchory="page"/>
            </v:group>
          </w:pict>
        </mc:Fallback>
      </mc:AlternateContent>
    </w:r>
    <w:r w:rsidR="00236C01">
      <w:rPr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76299</wp:posOffset>
          </wp:positionV>
          <wp:extent cx="1990725" cy="727710"/>
          <wp:effectExtent l="0" t="0" r="9525" b="0"/>
          <wp:wrapNone/>
          <wp:docPr id="3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0725" cy="727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36C01">
      <w:tab/>
    </w:r>
  </w:p>
  <w:p w:rsidR="00236C01" w:rsidRDefault="00236C01" w:rsidP="00236C01">
    <w:pPr>
      <w:pStyle w:val="Cabealho"/>
      <w:tabs>
        <w:tab w:val="center" w:pos="4513"/>
        <w:tab w:val="left" w:pos="6630"/>
      </w:tabs>
    </w:pPr>
  </w:p>
  <w:p w:rsidR="00236C01" w:rsidRDefault="00236C01" w:rsidP="00236C01">
    <w:pPr>
      <w:pStyle w:val="Cabealho"/>
      <w:tabs>
        <w:tab w:val="center" w:pos="4513"/>
        <w:tab w:val="left" w:pos="6630"/>
      </w:tabs>
    </w:pPr>
  </w:p>
  <w:p w:rsidR="00236C01" w:rsidRDefault="00236C01" w:rsidP="00236C01">
    <w:pPr>
      <w:pStyle w:val="Cabealho"/>
    </w:pPr>
  </w:p>
  <w:p w:rsidR="00236C01" w:rsidRDefault="00236C01" w:rsidP="00236C01">
    <w:pPr>
      <w:pStyle w:val="Cabealho"/>
    </w:pPr>
  </w:p>
  <w:p w:rsidR="00236C01" w:rsidRDefault="00236C0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C01"/>
    <w:rsid w:val="00236C01"/>
    <w:rsid w:val="004A3758"/>
    <w:rsid w:val="005B5CBE"/>
    <w:rsid w:val="00DC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58900B-917C-4E35-8E84-286AB37C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C0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36C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36C01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36C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36C01"/>
  </w:style>
  <w:style w:type="paragraph" w:styleId="Rodap">
    <w:name w:val="footer"/>
    <w:basedOn w:val="Normal"/>
    <w:link w:val="RodapChar"/>
    <w:uiPriority w:val="99"/>
    <w:semiHidden/>
    <w:unhideWhenUsed/>
    <w:rsid w:val="00236C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36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Doriani</dc:creator>
  <cp:lastModifiedBy>Monia</cp:lastModifiedBy>
  <cp:revision>2</cp:revision>
  <dcterms:created xsi:type="dcterms:W3CDTF">2025-04-28T18:31:00Z</dcterms:created>
  <dcterms:modified xsi:type="dcterms:W3CDTF">2025-04-28T18:31:00Z</dcterms:modified>
</cp:coreProperties>
</file>